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55E3B" w14:textId="77777777" w:rsidR="00DF0BC2" w:rsidRPr="00DF0BC2" w:rsidRDefault="00DF0BC2" w:rsidP="00DF0BC2">
      <w:pPr>
        <w:shd w:val="clear" w:color="auto" w:fill="FFFFFF"/>
        <w:spacing w:after="150" w:line="240" w:lineRule="auto"/>
        <w:jc w:val="both"/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</w:pP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>Durante il secondo biennio gli studenti svilupperanno la conoscenza e l’uso delle tecniche, delle tecnologie, degli strumenti, dei materiali; si approfondiranno le procedure relative all’elaborazione progettuale del prodotto di design – individuando la funzione, gli elementi estetici, comunicativi e commerciali – attraverso l’analisi e la gestione della forma, della materia, del colore e delle strutture geometriche e meccaniche. E‘ opportuno che si tenga conto della necessità di coniugare le esigenze estetiche con la componente strutturale.</w:t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br/>
        <w:t xml:space="preserve">Verranno analizzate e applicate le procedure necessarie alla progettazione di prodotti di design o di arte applicata ideati su tema assegnato: tali progetti saranno cartacei, digitali (2D, 3D) e plastici; sarà pertanto indispensabile proseguire ed approfondire lo studio delle tecniche grafiche e informatiche, in particolare quelle geometriche e descrittive, finalizzate all’elaborazione progettuale, individuando i supporti, i materiali, gli strumenti, le applicazioni informatiche di settore, i mezzi multimediali e le modalità di presentazione del progetto più adeguati. </w:t>
      </w:r>
      <w:proofErr w:type="gramStart"/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>E’</w:t>
      </w:r>
      <w:proofErr w:type="gramEnd"/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 xml:space="preserve"> necessario che gli studenti acquisiscano le abilità di analizzare e rielaborare prodotti di design o di arte applicata antichi, moderni e contemporanei al fine di individuare nuove soluzioni formali applicando in maniera adeguata le teorie della percezione visiva e le tecnologie informatiche ed industriali. </w:t>
      </w:r>
      <w:proofErr w:type="gramStart"/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>E’</w:t>
      </w:r>
      <w:proofErr w:type="gramEnd"/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 xml:space="preserve"> </w:t>
      </w:r>
      <w:proofErr w:type="gramStart"/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>auspicabile infine</w:t>
      </w:r>
      <w:proofErr w:type="gramEnd"/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 xml:space="preserve"> che si sviluppi un metodo di ricerca artistica individuale o di gruppo. Si evidenzieranno i principi essenziali che regolano il sistema della committenza, della produzione artigianale ed industriale, l’iter esecutivo, il circuito produttivo con le relative figure professionali – considerando inoltre territorio, destinatari e contesto – e il contributo che le competenze acquisite porteranno ai vari percorsi di studio futuri.</w:t>
      </w:r>
    </w:p>
    <w:p w14:paraId="30DCC956" w14:textId="77777777" w:rsidR="00DF0BC2" w:rsidRPr="00DF0BC2" w:rsidRDefault="00DF0BC2" w:rsidP="00DF0BC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</w:pP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>PIANO ORARIO</w:t>
      </w:r>
    </w:p>
    <w:tbl>
      <w:tblPr>
        <w:tblW w:w="1429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11"/>
        <w:gridCol w:w="3042"/>
        <w:gridCol w:w="2639"/>
      </w:tblGrid>
      <w:tr w:rsidR="00DF0BC2" w:rsidRPr="00DF0BC2" w14:paraId="2A20BE37" w14:textId="77777777" w:rsidTr="00DF0BC2">
        <w:trPr>
          <w:trHeight w:val="71"/>
        </w:trPr>
        <w:tc>
          <w:tcPr>
            <w:tcW w:w="8611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24C229" w14:textId="77777777" w:rsidR="00DF0BC2" w:rsidRPr="00DF0BC2" w:rsidRDefault="00DF0BC2" w:rsidP="00DF0BC2">
            <w:pPr>
              <w:spacing w:after="0" w:line="240" w:lineRule="auto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i/>
                <w:iCs/>
                <w:color w:val="777777"/>
                <w:kern w:val="0"/>
                <w:lang w:eastAsia="it-IT"/>
                <w14:ligatures w14:val="none"/>
              </w:rPr>
              <w:t>INSEGNAMENTI</w:t>
            </w:r>
          </w:p>
        </w:tc>
        <w:tc>
          <w:tcPr>
            <w:tcW w:w="3042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39512D" w14:textId="77777777" w:rsidR="00DF0BC2" w:rsidRPr="00DF0BC2" w:rsidRDefault="00DF0BC2" w:rsidP="00DF0BC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i/>
                <w:iCs/>
                <w:color w:val="777777"/>
                <w:kern w:val="0"/>
                <w:lang w:eastAsia="it-IT"/>
                <w14:ligatures w14:val="none"/>
              </w:rPr>
              <w:t xml:space="preserve">Ore settimanali nel </w:t>
            </w:r>
            <w:proofErr w:type="gramStart"/>
            <w:r w:rsidRPr="00DF0BC2">
              <w:rPr>
                <w:rFonts w:ascii="Arial" w:eastAsia="Times New Roman" w:hAnsi="Arial" w:cs="Arial"/>
                <w:i/>
                <w:iCs/>
                <w:color w:val="777777"/>
                <w:kern w:val="0"/>
                <w:lang w:eastAsia="it-IT"/>
                <w14:ligatures w14:val="none"/>
              </w:rPr>
              <w:t>3°</w:t>
            </w:r>
            <w:proofErr w:type="gramEnd"/>
            <w:r w:rsidRPr="00DF0BC2">
              <w:rPr>
                <w:rFonts w:ascii="Arial" w:eastAsia="Times New Roman" w:hAnsi="Arial" w:cs="Arial"/>
                <w:i/>
                <w:iCs/>
                <w:color w:val="777777"/>
                <w:kern w:val="0"/>
                <w:lang w:eastAsia="it-IT"/>
                <w14:ligatures w14:val="none"/>
              </w:rPr>
              <w:t xml:space="preserve"> e </w:t>
            </w:r>
            <w:proofErr w:type="gramStart"/>
            <w:r w:rsidRPr="00DF0BC2">
              <w:rPr>
                <w:rFonts w:ascii="Arial" w:eastAsia="Times New Roman" w:hAnsi="Arial" w:cs="Arial"/>
                <w:i/>
                <w:iCs/>
                <w:color w:val="777777"/>
                <w:kern w:val="0"/>
                <w:lang w:eastAsia="it-IT"/>
                <w14:ligatures w14:val="none"/>
              </w:rPr>
              <w:t>4°</w:t>
            </w:r>
            <w:proofErr w:type="gramEnd"/>
            <w:r w:rsidRPr="00DF0BC2">
              <w:rPr>
                <w:rFonts w:ascii="Arial" w:eastAsia="Times New Roman" w:hAnsi="Arial" w:cs="Arial"/>
                <w:i/>
                <w:iCs/>
                <w:color w:val="777777"/>
                <w:kern w:val="0"/>
                <w:lang w:eastAsia="it-IT"/>
                <w14:ligatures w14:val="none"/>
              </w:rPr>
              <w:t xml:space="preserve"> anno</w:t>
            </w:r>
          </w:p>
        </w:tc>
        <w:tc>
          <w:tcPr>
            <w:tcW w:w="2639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EBDA41" w14:textId="77777777" w:rsidR="00DF0BC2" w:rsidRPr="00DF0BC2" w:rsidRDefault="00DF0BC2" w:rsidP="00DF0BC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i/>
                <w:iCs/>
                <w:color w:val="777777"/>
                <w:kern w:val="0"/>
                <w:lang w:eastAsia="it-IT"/>
                <w14:ligatures w14:val="none"/>
              </w:rPr>
              <w:t xml:space="preserve">Ore settimanali nel </w:t>
            </w:r>
            <w:proofErr w:type="gramStart"/>
            <w:r w:rsidRPr="00DF0BC2">
              <w:rPr>
                <w:rFonts w:ascii="Arial" w:eastAsia="Times New Roman" w:hAnsi="Arial" w:cs="Arial"/>
                <w:i/>
                <w:iCs/>
                <w:color w:val="777777"/>
                <w:kern w:val="0"/>
                <w:lang w:eastAsia="it-IT"/>
                <w14:ligatures w14:val="none"/>
              </w:rPr>
              <w:t>5°</w:t>
            </w:r>
            <w:proofErr w:type="gramEnd"/>
            <w:r w:rsidRPr="00DF0BC2">
              <w:rPr>
                <w:rFonts w:ascii="Arial" w:eastAsia="Times New Roman" w:hAnsi="Arial" w:cs="Arial"/>
                <w:i/>
                <w:iCs/>
                <w:color w:val="777777"/>
                <w:kern w:val="0"/>
                <w:lang w:eastAsia="it-IT"/>
                <w14:ligatures w14:val="none"/>
              </w:rPr>
              <w:t xml:space="preserve"> anno</w:t>
            </w:r>
          </w:p>
        </w:tc>
      </w:tr>
      <w:tr w:rsidR="00DF0BC2" w:rsidRPr="00DF0BC2" w14:paraId="1C68410E" w14:textId="77777777" w:rsidTr="00DF0BC2">
        <w:trPr>
          <w:trHeight w:val="71"/>
        </w:trPr>
        <w:tc>
          <w:tcPr>
            <w:tcW w:w="8611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2E0C36" w14:textId="77777777" w:rsidR="00DF0BC2" w:rsidRPr="00DF0BC2" w:rsidRDefault="00DF0BC2" w:rsidP="00DF0BC2">
            <w:pPr>
              <w:spacing w:after="0" w:line="240" w:lineRule="auto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color w:val="777777"/>
                <w:kern w:val="0"/>
                <w:lang w:eastAsia="it-IT"/>
                <w14:ligatures w14:val="none"/>
              </w:rPr>
              <w:t>Discipline progettuali Design</w:t>
            </w:r>
          </w:p>
        </w:tc>
        <w:tc>
          <w:tcPr>
            <w:tcW w:w="3042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97515B" w14:textId="77777777" w:rsidR="00DF0BC2" w:rsidRPr="00DF0BC2" w:rsidRDefault="00DF0BC2" w:rsidP="00DF0BC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color w:val="777777"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2639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18CC73" w14:textId="77777777" w:rsidR="00DF0BC2" w:rsidRPr="00DF0BC2" w:rsidRDefault="00DF0BC2" w:rsidP="00DF0BC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color w:val="777777"/>
                <w:kern w:val="0"/>
                <w:lang w:eastAsia="it-IT"/>
                <w14:ligatures w14:val="none"/>
              </w:rPr>
              <w:t>6</w:t>
            </w:r>
          </w:p>
        </w:tc>
      </w:tr>
      <w:tr w:rsidR="00DF0BC2" w:rsidRPr="00DF0BC2" w14:paraId="6588B0B3" w14:textId="77777777" w:rsidTr="00DF0BC2">
        <w:trPr>
          <w:trHeight w:val="71"/>
        </w:trPr>
        <w:tc>
          <w:tcPr>
            <w:tcW w:w="8611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94716D" w14:textId="77777777" w:rsidR="00DF0BC2" w:rsidRPr="00DF0BC2" w:rsidRDefault="00DF0BC2" w:rsidP="00DF0BC2">
            <w:pPr>
              <w:spacing w:after="0" w:line="240" w:lineRule="auto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color w:val="777777"/>
                <w:kern w:val="0"/>
                <w:lang w:eastAsia="it-IT"/>
                <w14:ligatures w14:val="none"/>
              </w:rPr>
              <w:t>Laboratorio del design</w:t>
            </w:r>
          </w:p>
        </w:tc>
        <w:tc>
          <w:tcPr>
            <w:tcW w:w="3042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D05D67" w14:textId="77777777" w:rsidR="00DF0BC2" w:rsidRPr="00DF0BC2" w:rsidRDefault="00DF0BC2" w:rsidP="00DF0BC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color w:val="777777"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2639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9C2D75" w14:textId="77777777" w:rsidR="00DF0BC2" w:rsidRPr="00DF0BC2" w:rsidRDefault="00DF0BC2" w:rsidP="00DF0BC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color w:val="777777"/>
                <w:kern w:val="0"/>
                <w:lang w:eastAsia="it-IT"/>
                <w14:ligatures w14:val="none"/>
              </w:rPr>
              <w:t>8</w:t>
            </w:r>
          </w:p>
        </w:tc>
      </w:tr>
      <w:tr w:rsidR="00DF0BC2" w:rsidRPr="00DF0BC2" w14:paraId="321E3325" w14:textId="77777777" w:rsidTr="00DF0BC2">
        <w:trPr>
          <w:trHeight w:val="71"/>
        </w:trPr>
        <w:tc>
          <w:tcPr>
            <w:tcW w:w="8611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EFC301" w14:textId="77777777" w:rsidR="00DF0BC2" w:rsidRPr="00DF0BC2" w:rsidRDefault="00DF0BC2" w:rsidP="00DF0BC2">
            <w:pPr>
              <w:spacing w:after="0" w:line="240" w:lineRule="auto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color w:val="777777"/>
                <w:kern w:val="0"/>
                <w:lang w:eastAsia="it-IT"/>
                <w14:ligatures w14:val="none"/>
              </w:rPr>
              <w:t>Chimica dei materiali</w:t>
            </w:r>
          </w:p>
        </w:tc>
        <w:tc>
          <w:tcPr>
            <w:tcW w:w="3042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18E07E" w14:textId="77777777" w:rsidR="00DF0BC2" w:rsidRPr="00DF0BC2" w:rsidRDefault="00DF0BC2" w:rsidP="00DF0BC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color w:val="777777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2639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692786" w14:textId="77777777" w:rsidR="00DF0BC2" w:rsidRPr="00DF0BC2" w:rsidRDefault="00DF0BC2" w:rsidP="00DF0BC2">
            <w:pPr>
              <w:spacing w:after="0" w:line="240" w:lineRule="auto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</w:p>
        </w:tc>
      </w:tr>
      <w:tr w:rsidR="00DF0BC2" w:rsidRPr="00DF0BC2" w14:paraId="6D2B5F79" w14:textId="77777777" w:rsidTr="00DF0BC2">
        <w:trPr>
          <w:trHeight w:val="86"/>
        </w:trPr>
        <w:tc>
          <w:tcPr>
            <w:tcW w:w="8611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9CE8C2" w14:textId="77777777" w:rsidR="00DF0BC2" w:rsidRPr="00DF0BC2" w:rsidRDefault="00DF0BC2" w:rsidP="00DF0BC2">
            <w:pPr>
              <w:spacing w:after="0" w:line="240" w:lineRule="auto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b/>
                <w:bCs/>
                <w:color w:val="777777"/>
                <w:kern w:val="0"/>
                <w:lang w:eastAsia="it-IT"/>
                <w14:ligatures w14:val="none"/>
              </w:rPr>
              <w:t>TOTALE</w:t>
            </w:r>
          </w:p>
        </w:tc>
        <w:tc>
          <w:tcPr>
            <w:tcW w:w="3042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9A3DE8" w14:textId="77777777" w:rsidR="00DF0BC2" w:rsidRPr="00DF0BC2" w:rsidRDefault="00DF0BC2" w:rsidP="00DF0BC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b/>
                <w:bCs/>
                <w:color w:val="777777"/>
                <w:kern w:val="0"/>
                <w:lang w:eastAsia="it-IT"/>
                <w14:ligatures w14:val="none"/>
              </w:rPr>
              <w:t>14</w:t>
            </w:r>
          </w:p>
        </w:tc>
        <w:tc>
          <w:tcPr>
            <w:tcW w:w="2639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45C88C" w14:textId="77777777" w:rsidR="00DF0BC2" w:rsidRPr="00DF0BC2" w:rsidRDefault="00DF0BC2" w:rsidP="00DF0BC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777777"/>
                <w:kern w:val="0"/>
                <w:lang w:eastAsia="it-IT"/>
                <w14:ligatures w14:val="none"/>
              </w:rPr>
            </w:pPr>
            <w:r w:rsidRPr="00DF0BC2">
              <w:rPr>
                <w:rFonts w:ascii="Arial" w:eastAsia="Times New Roman" w:hAnsi="Arial" w:cs="Arial"/>
                <w:b/>
                <w:bCs/>
                <w:color w:val="777777"/>
                <w:kern w:val="0"/>
                <w:lang w:eastAsia="it-IT"/>
                <w14:ligatures w14:val="none"/>
              </w:rPr>
              <w:t>14</w:t>
            </w:r>
          </w:p>
        </w:tc>
      </w:tr>
    </w:tbl>
    <w:p w14:paraId="33FAA323" w14:textId="77777777" w:rsidR="00DF0BC2" w:rsidRPr="00DF0BC2" w:rsidRDefault="00DF0BC2" w:rsidP="00DF0BC2">
      <w:pPr>
        <w:shd w:val="clear" w:color="auto" w:fill="FFFFFF"/>
        <w:spacing w:after="150" w:line="240" w:lineRule="auto"/>
        <w:jc w:val="both"/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</w:pP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>“Il corso design del tessuto, tende a formare un creativo con preparazione intermedia nel settore tessile abbigliamento/arredamento.</w:t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br/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lastRenderedPageBreak/>
        <w:t>Durante il secondo biennio di corso e l’ultimo anno, l’allievo indagherà gli aspetti fondamentali del</w:t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br/>
      </w:r>
      <w:proofErr w:type="spellStart"/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>Textile</w:t>
      </w:r>
      <w:proofErr w:type="spellEnd"/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 xml:space="preserve"> Design, attraverso la sperimentazione metodologica e tecnica nelle Discipline Progettuali e della pratica in Laboratorio tramite la decorazione, la stampa dei tessuti, e la tessitura , imparando a coniugare il valore estetico alla funzionalità di un prodotto.</w:t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br/>
        <w:t>Attraverso il percorso multidisciplinare, lo studente, curerà anche l’aspetto concettuale integrando la cultura del passato con la sensibilità del futuro.</w:t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br/>
        <w:t>Al termine del corso, l’allievo avrà conseguito le seguenti competenze:</w:t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br/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sym w:font="Symbol" w:char="F0B7"/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 xml:space="preserve"> ricerca ed analisi dei fenomeni del settore tessile/moda del passato e della attualità.</w:t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br/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sym w:font="Symbol" w:char="F0B7"/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 xml:space="preserve"> sensibilità culturale e competenza progettuale in un contesto di ricerca che si muove attorno al corpo ed allo spazio.</w:t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br/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sym w:font="Symbol" w:char="F0B7"/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 xml:space="preserve"> stile personale e gestione della propria creatività.</w:t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br/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sym w:font="Symbol" w:char="F0B7"/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 xml:space="preserve"> organizzazione consapevole e critica di un iter progettuale corretto e coerente al contesto produttivo.</w:t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br/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sym w:font="Symbol" w:char="F0B7"/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t xml:space="preserve"> autonomia nella scelta di soluzioni tecnico-operative manuali/digitali appropriate per la definizione di progetti grafici e prototipi.</w:t>
      </w:r>
    </w:p>
    <w:p w14:paraId="31515699" w14:textId="77777777" w:rsidR="00DF0BC2" w:rsidRPr="00DF0BC2" w:rsidRDefault="00DF0BC2" w:rsidP="00DF0BC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</w:pPr>
      <w:r w:rsidRPr="00DF0BC2">
        <w:rPr>
          <w:rFonts w:ascii="Open Sans" w:eastAsia="Times New Roman" w:hAnsi="Open Sans" w:cs="Open Sans"/>
          <w:b/>
          <w:bCs/>
          <w:color w:val="777777"/>
          <w:kern w:val="0"/>
          <w:lang w:eastAsia="it-IT"/>
          <w14:ligatures w14:val="none"/>
        </w:rPr>
        <w:t>Sbocchi professionali:</w:t>
      </w:r>
      <w:r w:rsidRPr="00DF0BC2">
        <w:rPr>
          <w:rFonts w:ascii="Open Sans" w:eastAsia="Times New Roman" w:hAnsi="Open Sans" w:cs="Open Sans"/>
          <w:color w:val="777777"/>
          <w:kern w:val="0"/>
          <w:lang w:eastAsia="it-IT"/>
          <w14:ligatures w14:val="none"/>
        </w:rPr>
        <w:br/>
        <w:t>Con queste competenze, gli studenti potranno inserirsi in tutte le facoltà universitarie, afferenti a qualsiasi settore; in tutte le accademie statali e private, in tutte le scuole post-diploma e successivamente nei master specifici del settore moda.  Tali competenze, facilmente convertibili anche nel campo dell’attività estetico-artistica, si possono inoltre spendere nelle realtà lavorative specifiche del settore abbigliamento, accessori moda, maglieria, tessile e stampa tradizionale e digitale.”</w:t>
      </w:r>
    </w:p>
    <w:p w14:paraId="0418089C" w14:textId="77777777" w:rsidR="008601B0" w:rsidRDefault="008601B0"/>
    <w:sectPr w:rsidR="008601B0" w:rsidSect="00DF0BC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CBD"/>
    <w:rsid w:val="000E3CBD"/>
    <w:rsid w:val="003D5E10"/>
    <w:rsid w:val="008601B0"/>
    <w:rsid w:val="00DF0BC2"/>
    <w:rsid w:val="00F4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97E7A1-9BB1-46C7-8814-8A9ED15D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E3C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C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C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C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C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C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C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C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C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C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C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C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CB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CB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CB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CB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CB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CB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C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E3C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C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C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C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CB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CB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E3CB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C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CB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C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1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Lelli</dc:creator>
  <cp:keywords/>
  <dc:description/>
  <cp:lastModifiedBy>Silvia Lelli</cp:lastModifiedBy>
  <cp:revision>2</cp:revision>
  <dcterms:created xsi:type="dcterms:W3CDTF">2025-06-17T09:49:00Z</dcterms:created>
  <dcterms:modified xsi:type="dcterms:W3CDTF">2025-06-17T09:50:00Z</dcterms:modified>
</cp:coreProperties>
</file>